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3088" w:type="dxa"/>
        <w:jc w:val="center"/>
        <w:tblLook w:val="04A0" w:firstRow="1" w:lastRow="0" w:firstColumn="1" w:lastColumn="0" w:noHBand="0" w:noVBand="1"/>
      </w:tblPr>
      <w:tblGrid>
        <w:gridCol w:w="1443"/>
        <w:gridCol w:w="2250"/>
        <w:gridCol w:w="4155"/>
        <w:gridCol w:w="4012"/>
        <w:gridCol w:w="1228"/>
      </w:tblGrid>
      <w:tr w:rsidR="00A83FA8" w14:paraId="5CF087C1" w14:textId="77777777" w:rsidTr="005922A7">
        <w:trPr>
          <w:trHeight w:val="1159"/>
          <w:jc w:val="center"/>
        </w:trPr>
        <w:tc>
          <w:tcPr>
            <w:tcW w:w="13088" w:type="dxa"/>
            <w:gridSpan w:val="5"/>
          </w:tcPr>
          <w:p w14:paraId="53C21677" w14:textId="0CDC38C3" w:rsidR="00A83FA8" w:rsidRPr="00CB1270" w:rsidRDefault="00A83FA8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B1270">
              <w:rPr>
                <w:rFonts w:cs="B Zar" w:hint="cs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ارزیابی جامع</w:t>
            </w:r>
            <w:r w:rsidR="00153801"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حضوری</w:t>
            </w:r>
            <w:r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گروه</w:t>
            </w:r>
            <w:r w:rsidRPr="00CB1270">
              <w:rPr>
                <w:rFonts w:cs="B Zar" w:hint="eastAsia"/>
                <w:b/>
                <w:bCs/>
                <w:sz w:val="24"/>
                <w:szCs w:val="24"/>
                <w:rtl/>
              </w:rPr>
              <w:t>‌</w:t>
            </w:r>
            <w:r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176DB84C" w:rsidR="00A83FA8" w:rsidRPr="00754843" w:rsidRDefault="00CB1270" w:rsidP="00CB127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نوبت </w:t>
            </w:r>
            <w:r w:rsidR="002814C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دوم </w:t>
            </w:r>
            <w:r w:rsidR="00A83FA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سال تحصیلی</w:t>
            </w:r>
            <w:r w:rsidR="00977759">
              <w:rPr>
                <w:rFonts w:cs="B Zar" w:hint="cs"/>
                <w:b/>
                <w:bCs/>
                <w:sz w:val="24"/>
                <w:szCs w:val="24"/>
                <w:rtl/>
              </w:rPr>
              <w:t>: خرداد ماه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140</w:t>
            </w:r>
            <w:r w:rsidR="002701C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-140</w:t>
            </w:r>
            <w:r w:rsidR="002701C4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  <w:r w:rsidR="005C101D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A85A092" w14:textId="68D22671" w:rsidR="00A83FA8" w:rsidRPr="00754843" w:rsidRDefault="00A83FA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گروه آموزشی:.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علوم سیاسی</w:t>
            </w: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رشته-گرایش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بین الملل- 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>اندیشه سیاسی</w:t>
            </w:r>
          </w:p>
          <w:p w14:paraId="736DF8D9" w14:textId="6882170B" w:rsidR="00A83FA8" w:rsidRDefault="00A83FA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دانشکده: .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حقوق و علوم سیاسی</w:t>
            </w:r>
          </w:p>
        </w:tc>
      </w:tr>
      <w:tr w:rsidR="00461076" w14:paraId="76708587" w14:textId="6A86D850" w:rsidTr="005922A7">
        <w:trPr>
          <w:trHeight w:val="465"/>
          <w:jc w:val="center"/>
        </w:trPr>
        <w:tc>
          <w:tcPr>
            <w:tcW w:w="1443" w:type="dxa"/>
            <w:vMerge w:val="restart"/>
            <w:vAlign w:val="center"/>
          </w:tcPr>
          <w:p w14:paraId="1294D8BF" w14:textId="77777777" w:rsidR="00461076" w:rsidRPr="00754843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250" w:type="dxa"/>
            <w:vMerge w:val="restart"/>
            <w:vAlign w:val="center"/>
          </w:tcPr>
          <w:p w14:paraId="734BE4DC" w14:textId="77777777" w:rsidR="00461076" w:rsidRPr="00754843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4155" w:type="dxa"/>
            <w:vMerge w:val="restart"/>
            <w:vAlign w:val="center"/>
          </w:tcPr>
          <w:p w14:paraId="4197C515" w14:textId="4F862FC4" w:rsidR="00461076" w:rsidRPr="00754843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4012" w:type="dxa"/>
            <w:vAlign w:val="center"/>
          </w:tcPr>
          <w:p w14:paraId="4E346689" w14:textId="14A877D2" w:rsidR="00461076" w:rsidRPr="00754843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1228" w:type="dxa"/>
            <w:vAlign w:val="center"/>
          </w:tcPr>
          <w:p w14:paraId="52255352" w14:textId="13F5FDA0" w:rsidR="00461076" w:rsidRPr="00754843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53056" w14:paraId="39D5162A" w14:textId="1680CA6C" w:rsidTr="005922A7">
        <w:trPr>
          <w:trHeight w:val="319"/>
          <w:jc w:val="center"/>
        </w:trPr>
        <w:tc>
          <w:tcPr>
            <w:tcW w:w="1443" w:type="dxa"/>
            <w:vMerge/>
            <w:vAlign w:val="center"/>
          </w:tcPr>
          <w:p w14:paraId="1D77008E" w14:textId="77777777" w:rsidR="00653056" w:rsidRDefault="00653056" w:rsidP="0065305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  <w:vMerge/>
            <w:vAlign w:val="center"/>
          </w:tcPr>
          <w:p w14:paraId="795D1BA7" w14:textId="77777777" w:rsidR="00653056" w:rsidRDefault="00653056" w:rsidP="0065305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55" w:type="dxa"/>
            <w:vMerge/>
            <w:vAlign w:val="center"/>
          </w:tcPr>
          <w:p w14:paraId="03FACE3B" w14:textId="77777777" w:rsidR="00653056" w:rsidRDefault="00653056" w:rsidP="0065305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  <w:vAlign w:val="center"/>
          </w:tcPr>
          <w:p w14:paraId="55929468" w14:textId="77777777" w:rsidR="00653056" w:rsidRDefault="00653056" w:rsidP="0065305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14:paraId="73544048" w14:textId="47F99C72" w:rsidR="00653056" w:rsidRPr="00E76F54" w:rsidRDefault="00653056" w:rsidP="0065305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چهارشنبه</w:t>
            </w:r>
            <w:r w:rsidR="00D03E8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17 خرداد 1402</w:t>
            </w:r>
          </w:p>
          <w:p w14:paraId="47C66AF3" w14:textId="20075D4A" w:rsidR="00653056" w:rsidRPr="00E771DF" w:rsidRDefault="00653056" w:rsidP="0065305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28" w:type="dxa"/>
            <w:vAlign w:val="center"/>
          </w:tcPr>
          <w:p w14:paraId="65E249A7" w14:textId="4DF3ACF0" w:rsidR="00653056" w:rsidRPr="00E771DF" w:rsidRDefault="00653056" w:rsidP="0065305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D5D88" w14:paraId="4177D169" w14:textId="6E5C7952" w:rsidTr="005922A7">
        <w:trPr>
          <w:trHeight w:val="908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55BF7025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8A01056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 1</w:t>
            </w:r>
          </w:p>
          <w:p w14:paraId="0CE7ABC3" w14:textId="77777777" w:rsidR="009D5D88" w:rsidRPr="00754843" w:rsidRDefault="009D5D88" w:rsidP="009D5D88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044DF0DB" w14:textId="33645973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روش شناسی 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14:paraId="2EB50D6A" w14:textId="398E56BC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مهدی نجف زاده</w:t>
            </w:r>
          </w:p>
        </w:tc>
        <w:tc>
          <w:tcPr>
            <w:tcW w:w="4155" w:type="dxa"/>
          </w:tcPr>
          <w:p w14:paraId="0A5229D1" w14:textId="01DA7C29" w:rsidR="009D5D88" w:rsidRPr="009D5D88" w:rsidRDefault="009D5D88" w:rsidP="00887C9A">
            <w:pPr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 xml:space="preserve">- </w:t>
            </w:r>
            <w:r w:rsidRPr="009D5D88">
              <w:rPr>
                <w:rFonts w:cs="Zar"/>
                <w:sz w:val="18"/>
                <w:szCs w:val="18"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بريان في،  فلسفه امروزين علوم اجتماعي، ترجمه خشايار ديهمي</w:t>
            </w:r>
          </w:p>
          <w:p w14:paraId="0D1AF0EC" w14:textId="77777777" w:rsidR="009D5D88" w:rsidRPr="009D5D88" w:rsidRDefault="009D5D88" w:rsidP="00887C9A">
            <w:pPr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- جري استوكر، روش و نظريه در علوم سياسي ، ترجمه امير محمد حاجي يوسفي، مطالعات راهبردي</w:t>
            </w:r>
          </w:p>
          <w:p w14:paraId="72D07079" w14:textId="6CA72362" w:rsidR="009D5D88" w:rsidRPr="00F344F0" w:rsidRDefault="00F344F0" w:rsidP="00F344F0">
            <w:pPr>
              <w:rPr>
                <w:rFonts w:cs="B Zar"/>
                <w:rtl/>
              </w:rPr>
            </w:pPr>
            <w:r w:rsidRPr="00F344F0">
              <w:rPr>
                <w:rFonts w:cs="B Zar" w:hint="cs"/>
                <w:rtl/>
              </w:rPr>
              <w:t>دانیل لیتل ، تبین در علوم اجتماعی</w:t>
            </w:r>
          </w:p>
        </w:tc>
        <w:tc>
          <w:tcPr>
            <w:tcW w:w="4012" w:type="dxa"/>
          </w:tcPr>
          <w:p w14:paraId="12A75CF7" w14:textId="77777777" w:rsidR="009D5D88" w:rsidRDefault="00246ED4" w:rsidP="008F76D0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8-10</w:t>
            </w:r>
          </w:p>
          <w:p w14:paraId="461582FA" w14:textId="5D055217" w:rsidR="008F76D0" w:rsidRDefault="008F76D0" w:rsidP="008F76D0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28" w:type="dxa"/>
          </w:tcPr>
          <w:p w14:paraId="6CA72836" w14:textId="27C86298" w:rsidR="009D5D88" w:rsidRDefault="009D5D88" w:rsidP="002339C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9D5D88" w14:paraId="3B5947C2" w14:textId="2595823E" w:rsidTr="005922A7">
        <w:trPr>
          <w:trHeight w:val="1457"/>
          <w:jc w:val="center"/>
        </w:trPr>
        <w:tc>
          <w:tcPr>
            <w:tcW w:w="1443" w:type="dxa"/>
            <w:vAlign w:val="center"/>
          </w:tcPr>
          <w:p w14:paraId="2CA981F0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 2</w:t>
            </w:r>
          </w:p>
        </w:tc>
        <w:tc>
          <w:tcPr>
            <w:tcW w:w="2250" w:type="dxa"/>
          </w:tcPr>
          <w:p w14:paraId="24A22C03" w14:textId="66756571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اندیشه غرب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</w:t>
            </w:r>
          </w:p>
          <w:p w14:paraId="7DEA9107" w14:textId="46C45980" w:rsidR="009D5D88" w:rsidRPr="00754843" w:rsidRDefault="009D5D88" w:rsidP="009502A4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سید حسین اطهری- روح الله اسلامی</w:t>
            </w:r>
          </w:p>
        </w:tc>
        <w:tc>
          <w:tcPr>
            <w:tcW w:w="4155" w:type="dxa"/>
          </w:tcPr>
          <w:p w14:paraId="5C9735F6" w14:textId="74578DEE" w:rsidR="009D5D88" w:rsidRDefault="009D5D88" w:rsidP="004E7F04">
            <w:pPr>
              <w:pStyle w:val="references"/>
              <w:jc w:val="left"/>
              <w:rPr>
                <w:rFonts w:cs="Zar"/>
                <w:sz w:val="18"/>
                <w:szCs w:val="18"/>
                <w:rtl/>
              </w:rPr>
            </w:pPr>
            <w:r w:rsidRPr="009D5D88">
              <w:rPr>
                <w:rFonts w:cs="Zar"/>
                <w:sz w:val="18"/>
                <w:szCs w:val="18"/>
                <w:rtl/>
              </w:rPr>
              <w:t>لسناف، ما</w:t>
            </w:r>
            <w:r w:rsidRPr="009D5D88">
              <w:rPr>
                <w:rFonts w:cs="Zar" w:hint="cs"/>
                <w:sz w:val="18"/>
                <w:szCs w:val="18"/>
                <w:rtl/>
              </w:rPr>
              <w:t>یكل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ا</w:t>
            </w:r>
            <w:r w:rsidRPr="009D5D88">
              <w:rPr>
                <w:rFonts w:cs="Zar" w:hint="cs"/>
                <w:sz w:val="18"/>
                <w:szCs w:val="18"/>
                <w:rtl/>
              </w:rPr>
              <w:t>یچ</w:t>
            </w:r>
            <w:r w:rsidRPr="009D5D88">
              <w:rPr>
                <w:rFonts w:cs="Zar"/>
                <w:sz w:val="18"/>
                <w:szCs w:val="18"/>
                <w:rtl/>
              </w:rPr>
              <w:t>. ف</w:t>
            </w:r>
            <w:r w:rsidRPr="009D5D88">
              <w:rPr>
                <w:rFonts w:cs="Zar" w:hint="cs"/>
                <w:sz w:val="18"/>
                <w:szCs w:val="18"/>
                <w:rtl/>
              </w:rPr>
              <w:t>یلسوفان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س</w:t>
            </w:r>
            <w:r w:rsidRPr="009D5D88">
              <w:rPr>
                <w:rFonts w:cs="Zar" w:hint="cs"/>
                <w:sz w:val="18"/>
                <w:szCs w:val="18"/>
                <w:rtl/>
              </w:rPr>
              <w:t>یاسی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قرن ب</w:t>
            </w:r>
            <w:r w:rsidRPr="009D5D88">
              <w:rPr>
                <w:rFonts w:cs="Zar" w:hint="cs"/>
                <w:sz w:val="18"/>
                <w:szCs w:val="18"/>
                <w:rtl/>
              </w:rPr>
              <w:t>یستم</w:t>
            </w:r>
            <w:r w:rsidRPr="009D5D88">
              <w:rPr>
                <w:rFonts w:cs="Zar"/>
                <w:sz w:val="18"/>
                <w:szCs w:val="18"/>
                <w:rtl/>
              </w:rPr>
              <w:t>. مترجم خشا</w:t>
            </w:r>
            <w:r w:rsidRPr="009D5D88">
              <w:rPr>
                <w:rFonts w:cs="Zar" w:hint="cs"/>
                <w:sz w:val="18"/>
                <w:szCs w:val="18"/>
                <w:rtl/>
              </w:rPr>
              <w:t>یار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د</w:t>
            </w:r>
            <w:r w:rsidRPr="009D5D88">
              <w:rPr>
                <w:rFonts w:cs="Zar" w:hint="cs"/>
                <w:sz w:val="18"/>
                <w:szCs w:val="18"/>
                <w:rtl/>
              </w:rPr>
              <w:t>یهیمی،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تهران: نشر کوچک، 1378</w:t>
            </w:r>
          </w:p>
          <w:p w14:paraId="5DECDDE4" w14:textId="67233C96" w:rsidR="004E7F04" w:rsidRDefault="004E7F04" w:rsidP="004E7F04">
            <w:pPr>
              <w:pStyle w:val="references"/>
              <w:jc w:val="left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لسناف، اندیشه سیاسی قرن 20</w:t>
            </w:r>
          </w:p>
          <w:p w14:paraId="4DD82713" w14:textId="2CD23C28" w:rsidR="004E7F04" w:rsidRDefault="004E7F04" w:rsidP="004E7F04">
            <w:pPr>
              <w:pStyle w:val="references"/>
              <w:jc w:val="left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بشیریه، اندیشه سیاسی قرن 20</w:t>
            </w:r>
          </w:p>
          <w:p w14:paraId="185A9C48" w14:textId="6F20CEFF" w:rsidR="004E7F04" w:rsidRDefault="004E7F04" w:rsidP="004E7F04">
            <w:pPr>
              <w:pStyle w:val="references"/>
              <w:jc w:val="left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طباطبایی، جدال قدیم و جدید</w:t>
            </w:r>
          </w:p>
          <w:p w14:paraId="5AAE8A31" w14:textId="77777777" w:rsidR="004E7F04" w:rsidRDefault="004E7F04" w:rsidP="004E7F04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مایکل برسفورد فاستر، خداوندان اندیشه سیاسی</w:t>
            </w:r>
          </w:p>
          <w:p w14:paraId="58B1F4DC" w14:textId="1DC9F92B" w:rsidR="004E7F04" w:rsidRPr="009D5D88" w:rsidRDefault="004E7F04" w:rsidP="004E7F04">
            <w:pPr>
              <w:pStyle w:val="references"/>
              <w:jc w:val="left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بلوم، نظریه های نظام سیاسی</w:t>
            </w:r>
          </w:p>
          <w:p w14:paraId="2FFE0DC9" w14:textId="73586569" w:rsidR="009D5D88" w:rsidRPr="00FD477A" w:rsidRDefault="004E7F04" w:rsidP="004E7F04">
            <w:pPr>
              <w:jc w:val="both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م</w:t>
            </w:r>
            <w:r w:rsidR="009D5D88" w:rsidRPr="009D5D88">
              <w:rPr>
                <w:rFonts w:cs="Zar" w:hint="cs"/>
                <w:sz w:val="18"/>
                <w:szCs w:val="18"/>
                <w:rtl/>
              </w:rPr>
              <w:t>‍ن‍وچ‍ه‍ری‌،</w:t>
            </w:r>
            <w:r w:rsidR="009D5D88"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="009D5D88" w:rsidRPr="009D5D88">
              <w:rPr>
                <w:rFonts w:cs="Zar" w:hint="cs"/>
                <w:sz w:val="18"/>
                <w:szCs w:val="18"/>
                <w:rtl/>
              </w:rPr>
              <w:t>ع‍ب‍اس‌‏</w:t>
            </w:r>
            <w:dir w:val="rtl">
              <w:r w:rsidR="009D5D88" w:rsidRPr="009D5D88">
                <w:rPr>
                  <w:rFonts w:ascii="MS Mincho" w:eastAsia="MS Mincho" w:hAnsi="MS Mincho" w:cs="Zar" w:hint="cs"/>
                  <w:sz w:val="18"/>
                  <w:szCs w:val="18"/>
                  <w:rtl/>
                </w:rPr>
                <w:t xml:space="preserve"> (1395)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،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فراسوی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رنج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و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رویا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: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روایتی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دلالتی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-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پارادایمی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از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تفکر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 xml:space="preserve">سیاسی،دوجلد، </w:t>
              </w:r>
              <w:r>
                <w:t>‬</w:t>
              </w:r>
              <w:r>
                <w:t>‬</w:t>
              </w:r>
              <w:r>
                <w:t>‬</w:t>
              </w:r>
              <w:r w:rsidR="00000000">
                <w:t>‬</w:t>
              </w:r>
            </w:dir>
          </w:p>
          <w:p w14:paraId="2ACAA644" w14:textId="77777777" w:rsidR="009D5D88" w:rsidRDefault="009D5D88" w:rsidP="00887C9A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67DA0709" w14:textId="0A3D453F" w:rsidR="009D5D88" w:rsidRDefault="003F0A49" w:rsidP="008F76D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3F0A49">
              <w:rPr>
                <w:rFonts w:cs="B Zar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1228" w:type="dxa"/>
          </w:tcPr>
          <w:p w14:paraId="73B25A3D" w14:textId="4D7B1897" w:rsidR="009D5D88" w:rsidRDefault="009D5D88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9D5D88" w14:paraId="3866ABC7" w14:textId="2C538D74" w:rsidTr="005922A7">
        <w:trPr>
          <w:trHeight w:val="1250"/>
          <w:jc w:val="center"/>
        </w:trPr>
        <w:tc>
          <w:tcPr>
            <w:tcW w:w="1443" w:type="dxa"/>
            <w:vAlign w:val="center"/>
          </w:tcPr>
          <w:p w14:paraId="6B22BB22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7E360F8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 3</w:t>
            </w:r>
          </w:p>
          <w:p w14:paraId="7A5EE088" w14:textId="77777777" w:rsidR="009D5D88" w:rsidRPr="00754843" w:rsidRDefault="009D5D88" w:rsidP="009D5D88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4078FE77" w14:textId="2866AE6F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جامعه شناسی سیاسی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 </w:t>
            </w:r>
          </w:p>
          <w:p w14:paraId="24D8CB6D" w14:textId="75D75AAD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وحید سینایی- مرتضی منشادی</w:t>
            </w:r>
          </w:p>
        </w:tc>
        <w:tc>
          <w:tcPr>
            <w:tcW w:w="4155" w:type="dxa"/>
          </w:tcPr>
          <w:p w14:paraId="4FC9EACC" w14:textId="77777777" w:rsidR="009D5D88" w:rsidRPr="009D5D88" w:rsidRDefault="009D5D88" w:rsidP="00887C9A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ميگدال، جوئل «دولت در جامعه» ترجمه محمدتقي دلفروز، تهران، انتشارات كوير</w:t>
            </w:r>
          </w:p>
          <w:p w14:paraId="10417931" w14:textId="77777777" w:rsidR="009D5D88" w:rsidRPr="009D5D88" w:rsidRDefault="009D5D88" w:rsidP="00887C9A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سيدمن، استيون «كشكش آرا در جامعه شناسي» ترجمه هادي جليلي، تهران، نشر ني</w:t>
            </w:r>
          </w:p>
          <w:p w14:paraId="4BEF5344" w14:textId="77777777" w:rsidR="009D5D88" w:rsidRPr="009D5D88" w:rsidRDefault="009D5D88" w:rsidP="00887C9A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سجادی، عبدالقیوم، جامعه شناسی سیاسی افغانستان،</w:t>
            </w:r>
          </w:p>
          <w:p w14:paraId="375A37C3" w14:textId="3A85D7F4" w:rsidR="009D5D88" w:rsidRDefault="009D5D88" w:rsidP="00887C9A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علی آبادی، علیرضا، افغانستان( جامعه و فرهنگ)</w:t>
            </w:r>
          </w:p>
          <w:p w14:paraId="3BBA79F1" w14:textId="55FE331D" w:rsidR="006D2247" w:rsidRPr="009D5D88" w:rsidRDefault="006D2247" w:rsidP="006D2247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>
              <w:rPr>
                <w:rFonts w:cs="Zar" w:hint="cs"/>
                <w:sz w:val="18"/>
                <w:szCs w:val="18"/>
                <w:rtl/>
              </w:rPr>
              <w:t>باری کلارک، اقتصاد سیاسی تطبیقی</w:t>
            </w:r>
          </w:p>
          <w:p w14:paraId="2C00DE8E" w14:textId="77777777" w:rsidR="009D5D88" w:rsidRDefault="009D5D88" w:rsidP="00887C9A">
            <w:pPr>
              <w:pStyle w:val="ListParagraph"/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0D43A407" w14:textId="7EDD47D9" w:rsidR="009D5D88" w:rsidRPr="003F0A49" w:rsidRDefault="003F0A49" w:rsidP="008F76D0">
            <w:pPr>
              <w:widowControl w:val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3F0A49">
              <w:rPr>
                <w:rFonts w:cs="B Zar" w:hint="cs"/>
                <w:b/>
                <w:bCs/>
                <w:sz w:val="32"/>
                <w:szCs w:val="32"/>
                <w:rtl/>
              </w:rPr>
              <w:t>14-16</w:t>
            </w:r>
          </w:p>
        </w:tc>
        <w:tc>
          <w:tcPr>
            <w:tcW w:w="1228" w:type="dxa"/>
          </w:tcPr>
          <w:p w14:paraId="1C665E34" w14:textId="066B3B9D" w:rsidR="009D5D88" w:rsidRDefault="009D5D88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9D5D88" w14:paraId="22E79F88" w14:textId="2A492D52" w:rsidTr="005922A7">
        <w:trPr>
          <w:trHeight w:val="1360"/>
          <w:jc w:val="center"/>
        </w:trPr>
        <w:tc>
          <w:tcPr>
            <w:tcW w:w="1443" w:type="dxa"/>
            <w:vAlign w:val="center"/>
          </w:tcPr>
          <w:p w14:paraId="55D8C1FD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54C38A9A" w14:textId="21E86AA0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 4</w:t>
            </w:r>
          </w:p>
          <w:p w14:paraId="2CE662A9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1A53D903" w14:textId="28DF2523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توسعه سیاسی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14:paraId="1D63A5F8" w14:textId="1DB91618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وحید سینایی </w:t>
            </w:r>
            <w:r w:rsidRPr="0075484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سید حسین اطهری</w:t>
            </w:r>
          </w:p>
        </w:tc>
        <w:tc>
          <w:tcPr>
            <w:tcW w:w="4155" w:type="dxa"/>
          </w:tcPr>
          <w:p w14:paraId="7F62AAF1" w14:textId="77777777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فرانسیس فوکویاما (1396)، نظم و زوال سیاسی ، ترجمه رحمن قهرمانپور، تهران، انتشارات روزنه</w:t>
            </w:r>
          </w:p>
          <w:p w14:paraId="0744ED78" w14:textId="77777777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مایرون واینر، ساموئل هانتینگتون( 1397)، درک توسعه سیاسی، ترجمه و نشر پژوهشکده مطالعات راهبردی.</w:t>
            </w:r>
          </w:p>
          <w:p w14:paraId="7A56C944" w14:textId="3519D8EA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bookmarkStart w:id="0" w:name="_Hlk32938567"/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حسین بشیریه(1387)، گذار به مردم سالاری، تهران، نشر نگاه معاصر.</w:t>
            </w:r>
            <w:bookmarkEnd w:id="0"/>
          </w:p>
          <w:p w14:paraId="6E742A24" w14:textId="77777777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lastRenderedPageBreak/>
              <w:t>حسین بشیریه(1384)، گذار به دموکراسی، تهران، نشر نگاه معاصر.</w:t>
            </w:r>
          </w:p>
          <w:p w14:paraId="12E2D3E4" w14:textId="67E0135E" w:rsidR="009D5D88" w:rsidRDefault="009D5D88" w:rsidP="00887C9A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38B382CA" w14:textId="1C9AA57C" w:rsidR="009D5D88" w:rsidRDefault="003F0A49" w:rsidP="008F76D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16-18</w:t>
            </w:r>
          </w:p>
        </w:tc>
        <w:tc>
          <w:tcPr>
            <w:tcW w:w="1228" w:type="dxa"/>
          </w:tcPr>
          <w:p w14:paraId="545C71EA" w14:textId="5ADAB8F2" w:rsidR="009D5D88" w:rsidRDefault="009D5D88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206F"/>
    <w:multiLevelType w:val="hybridMultilevel"/>
    <w:tmpl w:val="EE2808DE"/>
    <w:lvl w:ilvl="0" w:tplc="486E10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7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153801"/>
    <w:rsid w:val="002339C0"/>
    <w:rsid w:val="00246ED4"/>
    <w:rsid w:val="002701C4"/>
    <w:rsid w:val="002814C8"/>
    <w:rsid w:val="003D0815"/>
    <w:rsid w:val="003F0A49"/>
    <w:rsid w:val="004017A6"/>
    <w:rsid w:val="00461076"/>
    <w:rsid w:val="004E1B31"/>
    <w:rsid w:val="004E7F04"/>
    <w:rsid w:val="005922A7"/>
    <w:rsid w:val="005C101D"/>
    <w:rsid w:val="006413F0"/>
    <w:rsid w:val="00653056"/>
    <w:rsid w:val="006D2247"/>
    <w:rsid w:val="00737BE4"/>
    <w:rsid w:val="00754843"/>
    <w:rsid w:val="0079572B"/>
    <w:rsid w:val="008635DE"/>
    <w:rsid w:val="00887C9A"/>
    <w:rsid w:val="008F76D0"/>
    <w:rsid w:val="009502A4"/>
    <w:rsid w:val="00977759"/>
    <w:rsid w:val="009D5D88"/>
    <w:rsid w:val="00A83FA8"/>
    <w:rsid w:val="00C51BDC"/>
    <w:rsid w:val="00CB1270"/>
    <w:rsid w:val="00D03E84"/>
    <w:rsid w:val="00E12312"/>
    <w:rsid w:val="00E771DF"/>
    <w:rsid w:val="00F344F0"/>
    <w:rsid w:val="00F91F79"/>
    <w:rsid w:val="00F92A71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qFormat/>
    <w:rsid w:val="009D5D88"/>
    <w:pPr>
      <w:spacing w:after="0" w:line="240" w:lineRule="auto"/>
      <w:ind w:left="567" w:hanging="567"/>
      <w:jc w:val="lowKashida"/>
    </w:pPr>
    <w:rPr>
      <w:rFonts w:ascii="Times New Roman" w:eastAsia="Times New Roman" w:hAnsi="Times New Roman" w:cs="B 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9D5D88"/>
    <w:pPr>
      <w:bidi w:val="0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9D5D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DC50-7F7E-4082-B350-65811EC8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ebrahim barsalani</cp:lastModifiedBy>
  <cp:revision>4</cp:revision>
  <dcterms:created xsi:type="dcterms:W3CDTF">2023-02-21T09:37:00Z</dcterms:created>
  <dcterms:modified xsi:type="dcterms:W3CDTF">2023-03-13T07:39:00Z</dcterms:modified>
</cp:coreProperties>
</file>